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7C2" w:rsidRPr="00774CD0" w:rsidRDefault="00034E9B" w:rsidP="005B78FD">
      <w:pPr>
        <w:suppressAutoHyphens/>
        <w:autoSpaceDN w:val="0"/>
        <w:jc w:val="both"/>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rsidR="0057789E" w:rsidRPr="003C776E" w:rsidRDefault="003C776E" w:rsidP="003C776E">
      <w:pPr>
        <w:pStyle w:val="GPSL1SCHEDULEHeading"/>
      </w:pPr>
      <w:bookmarkStart w:id="0" w:name="_Ref365638373"/>
      <w:r>
        <w:t>How Framework Prices are used to calculate Call-Off Charges</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rsidR="0057789E" w:rsidRPr="008921D0" w:rsidRDefault="0057789E" w:rsidP="0057789E">
      <w:pPr>
        <w:pStyle w:val="GPSL3numberedclause"/>
        <w:tabs>
          <w:tab w:val="clear" w:pos="2127"/>
        </w:tabs>
        <w:ind w:left="1980" w:hanging="810"/>
        <w:jc w:val="left"/>
        <w:rPr>
          <w:rFonts w:ascii="Arial" w:hAnsi="Arial"/>
          <w:sz w:val="24"/>
          <w:szCs w:val="24"/>
        </w:rPr>
      </w:pPr>
      <w:r w:rsidRPr="008921D0">
        <w:rPr>
          <w:rFonts w:ascii="Arial" w:hAnsi="Arial"/>
          <w:sz w:val="24"/>
          <w:szCs w:val="24"/>
        </w:rPr>
        <w:t>cannot be increased except as specifically permitted by the Call Off Contract and in particular shall only be subject to Indexation where specificall</w:t>
      </w:r>
      <w:r w:rsidR="00974BDE" w:rsidRPr="008921D0">
        <w:rPr>
          <w:rFonts w:ascii="Arial" w:hAnsi="Arial"/>
          <w:sz w:val="24"/>
          <w:szCs w:val="24"/>
        </w:rPr>
        <w:t>y stated in the Order Form; and</w:t>
      </w:r>
    </w:p>
    <w:p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w:t>
      </w:r>
      <w:r w:rsidR="00974BDE">
        <w:rPr>
          <w:rFonts w:ascii="Arial" w:hAnsi="Arial"/>
          <w:sz w:val="24"/>
          <w:szCs w:val="24"/>
        </w:rPr>
        <w:t>hange to the Framework Prices.</w:t>
      </w:r>
    </w:p>
    <w:p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974BDE">
        <w:rPr>
          <w:rFonts w:ascii="Arial" w:hAnsi="Arial"/>
          <w:sz w:val="24"/>
          <w:szCs w:val="24"/>
        </w:rPr>
        <w:t>ns of this Framework Schedule 3.</w:t>
      </w:r>
    </w:p>
    <w:bookmarkEnd w:id="1"/>
    <w:p w:rsidR="0057789E" w:rsidRPr="00045287" w:rsidRDefault="00973BE3" w:rsidP="003C776E">
      <w:pPr>
        <w:pStyle w:val="GPSL1SCHEDULEHeading"/>
      </w:pPr>
      <w:r>
        <w:t>How Framework Prices are calculated</w:t>
      </w:r>
    </w:p>
    <w:p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are included in the Framework Prices</w:t>
      </w:r>
    </w:p>
    <w:p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w:t>
      </w:r>
      <w:r w:rsidR="008921D0">
        <w:rPr>
          <w:rFonts w:ascii="Arial" w:hAnsi="Arial"/>
          <w:sz w:val="24"/>
          <w:szCs w:val="24"/>
        </w:rPr>
        <w:t>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rsidR="0057789E" w:rsidRPr="0057789E" w:rsidRDefault="009427C1" w:rsidP="003C776E">
      <w:pPr>
        <w:pStyle w:val="GPSL1SCHEDULEHeading"/>
      </w:pPr>
      <w:r>
        <w:t>When the Supplier can ask to change the Framework Prices</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w:t>
      </w:r>
      <w:r w:rsidRPr="008921D0">
        <w:rPr>
          <w:rFonts w:ascii="Arial" w:hAnsi="Arial"/>
          <w:sz w:val="24"/>
          <w:szCs w:val="24"/>
        </w:rPr>
        <w:t xml:space="preserve">first </w:t>
      </w:r>
      <w:r w:rsidR="00974BDE" w:rsidRPr="008921D0">
        <w:rPr>
          <w:rFonts w:ascii="Arial" w:hAnsi="Arial"/>
          <w:sz w:val="24"/>
          <w:szCs w:val="24"/>
        </w:rPr>
        <w:t>2</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w:t>
      </w:r>
      <w:bookmarkStart w:id="5" w:name="_GoBack"/>
      <w:bookmarkEnd w:id="5"/>
      <w:r w:rsidRPr="00F328EC">
        <w:rPr>
          <w:rFonts w:ascii="Arial" w:hAnsi="Arial"/>
          <w:sz w:val="24"/>
          <w:szCs w:val="24"/>
        </w:rPr>
        <w:t>ersary is also a "</w:t>
      </w:r>
      <w:r w:rsidRPr="00F328EC">
        <w:rPr>
          <w:rFonts w:ascii="Arial" w:hAnsi="Arial"/>
          <w:b/>
          <w:sz w:val="24"/>
          <w:szCs w:val="24"/>
        </w:rPr>
        <w:t>Review Date</w:t>
      </w:r>
      <w:r w:rsidRPr="00F328EC">
        <w:rPr>
          <w:rFonts w:ascii="Arial" w:hAnsi="Arial"/>
          <w:sz w:val="24"/>
          <w:szCs w:val="24"/>
        </w:rPr>
        <w:t>").</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rsidR="0057789E" w:rsidRPr="00974BDE" w:rsidRDefault="0057789E" w:rsidP="0057789E">
      <w:pPr>
        <w:pStyle w:val="GPSL4numberedclause"/>
        <w:tabs>
          <w:tab w:val="left" w:pos="1985"/>
          <w:tab w:val="left" w:pos="2552"/>
        </w:tabs>
        <w:ind w:left="1985" w:hanging="815"/>
        <w:jc w:val="left"/>
        <w:rPr>
          <w:rFonts w:ascii="Arial" w:hAnsi="Arial"/>
          <w:b/>
          <w:i/>
          <w:sz w:val="24"/>
          <w:szCs w:val="24"/>
        </w:rPr>
      </w:pPr>
      <w:r w:rsidRPr="00974BDE">
        <w:rPr>
          <w:rFonts w:ascii="Arial" w:hAnsi="Arial"/>
          <w:sz w:val="24"/>
          <w:szCs w:val="24"/>
        </w:rPr>
        <w:t>a breakdown of the profit and cost components that comprise</w:t>
      </w:r>
      <w:r w:rsidR="00974BDE" w:rsidRPr="00974BDE">
        <w:rPr>
          <w:rFonts w:ascii="Arial" w:hAnsi="Arial"/>
          <w:sz w:val="24"/>
          <w:szCs w:val="24"/>
        </w:rPr>
        <w:t xml:space="preserve"> the relevant Framework Price; </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Consider requesting a breakdown of the cost and profit elements for each line item (or similar groups of line items) in the Framework Prices as part of the initial procurement. This provides a benchmark against which future price reviews can be checked]</w:t>
      </w:r>
      <w:r w:rsidR="008921D0">
        <w:rPr>
          <w:rFonts w:ascii="Arial" w:hAnsi="Arial"/>
          <w:b w:val="0"/>
          <w:i w:val="0"/>
          <w:sz w:val="24"/>
          <w:szCs w:val="24"/>
        </w:rPr>
        <w:t xml:space="preserve"> </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details of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reasons for the movement in the different identified cost components o</w:t>
      </w:r>
      <w:r w:rsidR="00974BDE">
        <w:rPr>
          <w:rFonts w:ascii="Arial" w:hAnsi="Arial"/>
          <w:sz w:val="24"/>
          <w:szCs w:val="24"/>
        </w:rPr>
        <w:t>f the relevant Framework Price;</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r w:rsidRPr="00974BDE">
        <w:rPr>
          <w:rFonts w:ascii="Arial" w:hAnsi="Arial"/>
          <w:sz w:val="24"/>
          <w:szCs w:val="24"/>
        </w:rPr>
        <w:t>evidence that the Supplier has attempted to mitigate against the increase in th</w:t>
      </w:r>
      <w:r w:rsidR="00974BDE">
        <w:rPr>
          <w:rFonts w:ascii="Arial" w:hAnsi="Arial"/>
          <w:sz w:val="24"/>
          <w:szCs w:val="24"/>
        </w:rPr>
        <w:t>e relevant cost components; and</w:t>
      </w:r>
    </w:p>
    <w:p w:rsidR="0057789E" w:rsidRPr="00974BDE"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974BDE">
        <w:rPr>
          <w:rFonts w:ascii="Arial" w:hAnsi="Arial"/>
          <w:sz w:val="24"/>
          <w:szCs w:val="24"/>
        </w:rPr>
        <w:t>evidence</w:t>
      </w:r>
      <w:proofErr w:type="gramEnd"/>
      <w:r w:rsidRPr="00974BDE">
        <w:rPr>
          <w:rFonts w:ascii="Arial" w:hAnsi="Arial"/>
          <w:sz w:val="24"/>
          <w:szCs w:val="24"/>
        </w:rPr>
        <w:t xml:space="preserve"> that the Supplier’s profit component of the relevant  Framework Price is no greater than that applying to Framework Prices using the same pricing mechanism as at </w:t>
      </w:r>
      <w:r w:rsidR="00974BDE" w:rsidRPr="00974BDE">
        <w:rPr>
          <w:rFonts w:ascii="Arial" w:hAnsi="Arial"/>
          <w:sz w:val="24"/>
          <w:szCs w:val="24"/>
        </w:rPr>
        <w:t>the Contract Commencement Date.</w:t>
      </w:r>
    </w:p>
    <w:p w:rsidR="0057789E" w:rsidRPr="0057789E" w:rsidRDefault="0057789E" w:rsidP="0057789E">
      <w:pPr>
        <w:pStyle w:val="GPSL4Guidance"/>
        <w:tabs>
          <w:tab w:val="clear" w:pos="1985"/>
        </w:tabs>
        <w:ind w:left="0"/>
        <w:jc w:val="left"/>
        <w:rPr>
          <w:rFonts w:ascii="Arial" w:hAnsi="Arial"/>
          <w:b w:val="0"/>
          <w:i w:val="0"/>
          <w:sz w:val="24"/>
          <w:szCs w:val="24"/>
        </w:rPr>
      </w:pPr>
      <w:r w:rsidRPr="0057789E">
        <w:rPr>
          <w:rFonts w:ascii="Arial" w:hAnsi="Arial"/>
          <w:i w:val="0"/>
          <w:sz w:val="24"/>
          <w:szCs w:val="24"/>
          <w:highlight w:val="yellow"/>
        </w:rPr>
        <w:t xml:space="preserve">[Guidance Note: </w:t>
      </w:r>
      <w:r w:rsidRPr="0057789E">
        <w:rPr>
          <w:rFonts w:ascii="Arial" w:hAnsi="Arial"/>
          <w:b w:val="0"/>
          <w:i w:val="0"/>
          <w:sz w:val="24"/>
          <w:szCs w:val="24"/>
        </w:rPr>
        <w:t>Add anything else CCS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CCS shall consider each request for a price increase.  CCS may grant Approval to an increase at its sole discretion.</w:t>
      </w:r>
    </w:p>
    <w:p w:rsidR="0057789E" w:rsidRPr="008921D0"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57789E" w:rsidRPr="0057789E" w:rsidRDefault="007A2CAF" w:rsidP="003C776E">
      <w:pPr>
        <w:pStyle w:val="GPSL1SCHEDULEHeading"/>
      </w:pPr>
      <w:r>
        <w:t>Other events that allow the Supplier to change the Framework Prices</w:t>
      </w:r>
    </w:p>
    <w:p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lastRenderedPageBreak/>
        <w:t xml:space="preserve">a benchmarking review in accordance with </w:t>
      </w:r>
      <w:r w:rsidR="006325DC">
        <w:rPr>
          <w:rFonts w:ascii="Arial" w:hAnsi="Arial"/>
          <w:sz w:val="24"/>
          <w:szCs w:val="24"/>
        </w:rPr>
        <w:t>Call</w:t>
      </w:r>
      <w:r w:rsidR="005B78FD">
        <w:rPr>
          <w:rFonts w:ascii="Arial" w:hAnsi="Arial"/>
          <w:sz w:val="24"/>
          <w:szCs w:val="24"/>
        </w:rPr>
        <w:t xml:space="preserve"> Off Schedule 16 (Benchmarking)</w:t>
      </w:r>
    </w:p>
    <w:p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rsidR="00F328EC" w:rsidRDefault="00BF1005" w:rsidP="00BF1005">
      <w:pPr>
        <w:pStyle w:val="GPSL3numberedclause"/>
        <w:rPr>
          <w:rFonts w:ascii="Arial" w:hAnsi="Arial"/>
          <w:sz w:val="24"/>
          <w:szCs w:val="24"/>
        </w:rPr>
      </w:pPr>
      <w:r w:rsidRPr="00BF1005">
        <w:rPr>
          <w:rFonts w:ascii="Arial" w:hAnsi="Arial"/>
          <w:sz w:val="24"/>
          <w:szCs w:val="24"/>
        </w:rPr>
        <w:t>indexation, where Annex 1 states that a particular Framework Price or any component is “subject to Indexation” in which event</w:t>
      </w:r>
      <w:r>
        <w:rPr>
          <w:rFonts w:ascii="Arial" w:hAnsi="Arial"/>
          <w:sz w:val="24"/>
          <w:szCs w:val="24"/>
        </w:rPr>
        <w:t xml:space="preserve"> Paragraph 7 below shall apply.</w:t>
      </w:r>
    </w:p>
    <w:p w:rsidR="0057789E" w:rsidRPr="008921D0" w:rsidRDefault="007A2CAF" w:rsidP="003C776E">
      <w:pPr>
        <w:pStyle w:val="GPSL1SCHEDULEHeading"/>
      </w:pPr>
      <w:r w:rsidRPr="008921D0">
        <w:t>When the Framework Prices are linked to inflation</w:t>
      </w:r>
      <w:r w:rsidR="009D6528" w:rsidRPr="008921D0">
        <w:t xml:space="preserv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8921D0">
        <w:rPr>
          <w:rFonts w:ascii="Arial" w:hAnsi="Arial"/>
          <w:sz w:val="24"/>
          <w:szCs w:val="24"/>
        </w:rPr>
        <w:t xml:space="preserve">Where </w:t>
      </w:r>
      <w:r w:rsidR="008921D0" w:rsidRPr="008921D0">
        <w:rPr>
          <w:rFonts w:ascii="Arial" w:hAnsi="Arial"/>
          <w:sz w:val="24"/>
          <w:szCs w:val="24"/>
        </w:rPr>
        <w:t>the Framework Charges</w:t>
      </w:r>
      <w:r w:rsidRPr="008921D0">
        <w:rPr>
          <w:rFonts w:ascii="Arial" w:hAnsi="Arial"/>
          <w:sz w:val="24"/>
          <w:szCs w:val="24"/>
        </w:rPr>
        <w:t xml:space="preserve"> are</w:t>
      </w:r>
      <w:r w:rsidRPr="006C4AE2">
        <w:rPr>
          <w:rFonts w:ascii="Arial" w:hAnsi="Arial"/>
          <w:sz w:val="24"/>
          <w:szCs w:val="24"/>
        </w:rPr>
        <w:t xml:space="preserv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during the </w:t>
      </w:r>
      <w:r w:rsidRPr="008921D0">
        <w:rPr>
          <w:rFonts w:ascii="Arial" w:hAnsi="Arial"/>
          <w:sz w:val="24"/>
          <w:szCs w:val="24"/>
        </w:rPr>
        <w:t xml:space="preserve">first </w:t>
      </w:r>
      <w:r w:rsidR="008921D0" w:rsidRPr="008921D0">
        <w:rPr>
          <w:rFonts w:ascii="Arial" w:hAnsi="Arial"/>
          <w:sz w:val="24"/>
          <w:szCs w:val="24"/>
        </w:rPr>
        <w:t>2</w:t>
      </w:r>
      <w:r w:rsidR="008921D0" w:rsidRPr="008921D0">
        <w:rPr>
          <w:rFonts w:ascii="Arial" w:hAnsi="Arial"/>
          <w:b/>
          <w:sz w:val="24"/>
          <w:szCs w:val="24"/>
        </w:rPr>
        <w:t xml:space="preserve"> </w:t>
      </w:r>
      <w:r w:rsidRPr="008921D0">
        <w:rPr>
          <w:rFonts w:ascii="Arial" w:hAnsi="Arial"/>
          <w:sz w:val="24"/>
          <w:szCs w:val="24"/>
        </w:rPr>
        <w:t>years</w:t>
      </w:r>
      <w:r w:rsidRPr="006C4AE2">
        <w:rPr>
          <w:rFonts w:ascii="Arial" w:hAnsi="Arial"/>
          <w:sz w:val="24"/>
          <w:szCs w:val="24"/>
        </w:rPr>
        <w:t xml:space="preserve"> following the Framework Contract Commencement Date.  </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Where Annex 1 states a Framework Price is subject to Indexation then it will be indexed on the date which is </w:t>
      </w:r>
      <w:r w:rsidR="008921D0" w:rsidRPr="008921D0">
        <w:rPr>
          <w:rFonts w:ascii="Arial" w:hAnsi="Arial"/>
          <w:sz w:val="24"/>
          <w:szCs w:val="24"/>
        </w:rPr>
        <w:t>2</w:t>
      </w:r>
      <w:r w:rsidR="006C4AE2" w:rsidRPr="008921D0">
        <w:rPr>
          <w:rFonts w:ascii="Arial" w:hAnsi="Arial"/>
          <w:sz w:val="24"/>
          <w:szCs w:val="24"/>
        </w:rPr>
        <w:t xml:space="preserve"> </w:t>
      </w:r>
      <w:r w:rsidRPr="006C4AE2">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 CPI since the previous change.</w:t>
      </w:r>
    </w:p>
    <w:p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 xml:space="preserve">used to carry out an indexation calculation is updated (for example due to it being provisional) then the indexation calculation shall also be updated unless CPS and the Supplier agree otherwise; </w:t>
      </w:r>
    </w:p>
    <w:p w:rsidR="0057789E"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 CCS and the Supplier shall agree a fair and reasonable replacement that will have</w:t>
      </w:r>
      <w:r w:rsidR="008921D0">
        <w:rPr>
          <w:rFonts w:ascii="Arial" w:hAnsi="Arial"/>
          <w:sz w:val="24"/>
          <w:szCs w:val="24"/>
        </w:rPr>
        <w:t xml:space="preserve"> substantially the same effect.</w:t>
      </w:r>
    </w:p>
    <w:p w:rsidR="00A9462A" w:rsidRPr="00BF1005" w:rsidRDefault="00A9462A" w:rsidP="00A9462A">
      <w:pPr>
        <w:pStyle w:val="GPSL1SCHEDULEHeading"/>
      </w:pPr>
      <w:r w:rsidRPr="00BF1005">
        <w:t xml:space="preserve"> When you will be reimbursed for travel and subsistence</w:t>
      </w:r>
    </w:p>
    <w:p w:rsidR="00A9462A" w:rsidRPr="005C2FD0" w:rsidRDefault="00A9462A" w:rsidP="00A9462A">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w:t>
      </w:r>
      <w:r w:rsidR="00BF1005">
        <w:rPr>
          <w:rFonts w:ascii="Arial" w:hAnsi="Arial"/>
          <w:sz w:val="24"/>
          <w:szCs w:val="24"/>
        </w:rPr>
        <w:t xml:space="preserve"> shall only be recoverable </w:t>
      </w:r>
      <w:r w:rsidR="00BF1005" w:rsidRPr="00BF1005">
        <w:rPr>
          <w:rFonts w:ascii="Arial" w:hAnsi="Arial"/>
          <w:sz w:val="24"/>
          <w:szCs w:val="24"/>
        </w:rPr>
        <w:t>when</w:t>
      </w:r>
      <w:r w:rsidR="00BF1005" w:rsidRPr="00BF1005">
        <w:rPr>
          <w:rFonts w:ascii="Arial" w:hAnsi="Arial"/>
          <w:color w:val="FF0000"/>
          <w:sz w:val="24"/>
          <w:szCs w:val="24"/>
          <w:lang w:eastAsia="en-GB"/>
        </w:rPr>
        <w:t xml:space="preserve"> </w:t>
      </w:r>
      <w:r w:rsidR="00BF1005" w:rsidRPr="005C2FD0">
        <w:rPr>
          <w:rFonts w:ascii="Arial" w:hAnsi="Arial"/>
          <w:sz w:val="24"/>
          <w:szCs w:val="24"/>
          <w:lang w:eastAsia="en-GB"/>
        </w:rPr>
        <w:t>overseas</w:t>
      </w:r>
      <w:r w:rsidR="005C2FD0">
        <w:rPr>
          <w:rFonts w:ascii="Arial" w:hAnsi="Arial"/>
          <w:sz w:val="24"/>
          <w:szCs w:val="24"/>
          <w:lang w:eastAsia="en-GB"/>
        </w:rPr>
        <w:t xml:space="preserve"> (outside of the UK)</w:t>
      </w:r>
      <w:r w:rsidR="00BF1005" w:rsidRPr="005C2FD0">
        <w:rPr>
          <w:rFonts w:ascii="Arial" w:hAnsi="Arial"/>
          <w:sz w:val="24"/>
          <w:szCs w:val="24"/>
          <w:lang w:eastAsia="en-GB"/>
        </w:rPr>
        <w:t xml:space="preserve"> training is required by prior agreement with the customer and in line with the specific departments expense policy</w:t>
      </w:r>
      <w:r w:rsidR="00B61D7F" w:rsidRPr="005C2FD0">
        <w:rPr>
          <w:rFonts w:ascii="Arial" w:hAnsi="Arial"/>
          <w:sz w:val="24"/>
          <w:szCs w:val="24"/>
          <w:lang w:eastAsia="en-GB"/>
        </w:rPr>
        <w:t xml:space="preserve"> (</w:t>
      </w:r>
      <w:r w:rsidR="00295CBD">
        <w:rPr>
          <w:rFonts w:ascii="Arial" w:hAnsi="Arial"/>
          <w:sz w:val="24"/>
          <w:szCs w:val="24"/>
          <w:lang w:eastAsia="en-GB"/>
        </w:rPr>
        <w:t>overseas</w:t>
      </w:r>
      <w:r w:rsidR="005C2FD0" w:rsidRPr="005C2FD0">
        <w:rPr>
          <w:rFonts w:ascii="Arial" w:hAnsi="Arial"/>
          <w:sz w:val="24"/>
          <w:szCs w:val="24"/>
          <w:lang w:eastAsia="en-GB"/>
        </w:rPr>
        <w:t xml:space="preserve"> does not include Northern</w:t>
      </w:r>
      <w:r w:rsidR="00B61D7F" w:rsidRPr="005C2FD0">
        <w:rPr>
          <w:rFonts w:ascii="Arial" w:hAnsi="Arial"/>
          <w:sz w:val="24"/>
          <w:szCs w:val="24"/>
          <w:lang w:eastAsia="en-GB"/>
        </w:rPr>
        <w:t xml:space="preserve"> </w:t>
      </w:r>
      <w:r w:rsidR="005C2FD0" w:rsidRPr="005C2FD0">
        <w:rPr>
          <w:rFonts w:ascii="Arial" w:hAnsi="Arial"/>
          <w:sz w:val="24"/>
          <w:szCs w:val="24"/>
          <w:lang w:eastAsia="en-GB"/>
        </w:rPr>
        <w:t xml:space="preserve">Ireland, UK) </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Time and Materials pricing mechanism is used; and</w:t>
      </w:r>
    </w:p>
    <w:p w:rsidR="00A9462A" w:rsidRPr="0057789E"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the Order Form states that recovery is permitted; and</w:t>
      </w:r>
    </w:p>
    <w:p w:rsidR="00A9462A" w:rsidRPr="00BF1005"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they are </w:t>
      </w:r>
      <w:r w:rsidR="005C2FD0" w:rsidRPr="0057789E">
        <w:rPr>
          <w:rFonts w:ascii="Arial" w:hAnsi="Arial"/>
          <w:sz w:val="24"/>
          <w:szCs w:val="24"/>
        </w:rPr>
        <w:t>Reimbursable</w:t>
      </w:r>
      <w:r w:rsidRPr="0057789E">
        <w:rPr>
          <w:rFonts w:ascii="Arial" w:hAnsi="Arial"/>
          <w:sz w:val="24"/>
          <w:szCs w:val="24"/>
        </w:rPr>
        <w:t xml:space="preserve"> Expenses and are supported by </w:t>
      </w:r>
      <w:r w:rsidRPr="00BF1005">
        <w:rPr>
          <w:rFonts w:ascii="Arial" w:hAnsi="Arial"/>
          <w:sz w:val="24"/>
          <w:szCs w:val="24"/>
        </w:rPr>
        <w:t>Supporting Documentation.</w:t>
      </w:r>
    </w:p>
    <w:p w:rsidR="00A9462A" w:rsidRPr="00BF1005" w:rsidRDefault="00A9462A" w:rsidP="00A9462A">
      <w:pPr>
        <w:pStyle w:val="GPSL2Numbered"/>
        <w:numPr>
          <w:ilvl w:val="1"/>
          <w:numId w:val="1"/>
        </w:numPr>
        <w:tabs>
          <w:tab w:val="clear" w:pos="709"/>
        </w:tabs>
        <w:ind w:left="1134" w:hanging="504"/>
        <w:jc w:val="left"/>
        <w:rPr>
          <w:rFonts w:ascii="Arial" w:hAnsi="Arial"/>
          <w:sz w:val="24"/>
          <w:szCs w:val="24"/>
        </w:rPr>
      </w:pPr>
      <w:r w:rsidRPr="00BF1005">
        <w:rPr>
          <w:rFonts w:ascii="Arial" w:hAnsi="Arial"/>
          <w:sz w:val="24"/>
          <w:szCs w:val="24"/>
        </w:rPr>
        <w:t>The Buyer shall provide a copy of their current expenses policy</w:t>
      </w:r>
      <w:bookmarkStart w:id="7" w:name="_Ref366090681"/>
      <w:r w:rsidR="00BF1005" w:rsidRPr="00BF1005">
        <w:rPr>
          <w:rFonts w:ascii="Arial" w:hAnsi="Arial"/>
          <w:sz w:val="24"/>
          <w:szCs w:val="24"/>
        </w:rPr>
        <w:t xml:space="preserve"> to the Supplier upon request. </w:t>
      </w:r>
    </w:p>
    <w:p w:rsidR="003450C5" w:rsidRPr="0057789E" w:rsidRDefault="003450C5" w:rsidP="003450C5">
      <w:pPr>
        <w:pStyle w:val="GPSL1CLAUSEHEADING"/>
        <w:numPr>
          <w:ilvl w:val="0"/>
          <w:numId w:val="0"/>
        </w:numPr>
        <w:ind w:left="644"/>
        <w:rPr>
          <w:highlight w:val="yellow"/>
        </w:rPr>
      </w:pPr>
    </w:p>
    <w:bookmarkEnd w:id="7"/>
    <w:p w:rsidR="00A9462A" w:rsidRPr="006C4AE2" w:rsidRDefault="00A9462A" w:rsidP="00A9462A">
      <w:pPr>
        <w:pStyle w:val="GPSL3numberedclause"/>
        <w:numPr>
          <w:ilvl w:val="0"/>
          <w:numId w:val="0"/>
        </w:numPr>
        <w:tabs>
          <w:tab w:val="clear" w:pos="2127"/>
        </w:tabs>
        <w:jc w:val="left"/>
        <w:rPr>
          <w:rFonts w:ascii="Arial" w:hAnsi="Arial"/>
          <w:sz w:val="24"/>
          <w:szCs w:val="24"/>
        </w:rPr>
      </w:pPr>
    </w:p>
    <w:p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r w:rsidR="00BF1005">
        <w:rPr>
          <w:rFonts w:ascii="Arial" w:eastAsia="Calibri" w:hAnsi="Arial" w:cs="Arial"/>
          <w:b/>
          <w:bCs/>
          <w:iCs/>
          <w:sz w:val="36"/>
          <w:szCs w:val="36"/>
        </w:rPr>
        <w:t xml:space="preserve"> </w:t>
      </w:r>
    </w:p>
    <w:p w:rsidR="00273CB1" w:rsidRPr="00273CB1" w:rsidRDefault="00273CB1" w:rsidP="0057789E">
      <w:pPr>
        <w:rPr>
          <w:rFonts w:ascii="Arial" w:eastAsia="Calibri" w:hAnsi="Arial" w:cs="Arial"/>
          <w:b/>
          <w:bCs/>
          <w:i/>
          <w:iCs/>
          <w:color w:val="FF0000"/>
          <w:sz w:val="24"/>
          <w:szCs w:val="24"/>
        </w:rPr>
      </w:pPr>
      <w:r w:rsidRPr="00273CB1">
        <w:rPr>
          <w:rFonts w:ascii="Arial" w:eastAsia="Calibri" w:hAnsi="Arial" w:cs="Arial"/>
          <w:b/>
          <w:bCs/>
          <w:i/>
          <w:iCs/>
          <w:sz w:val="24"/>
          <w:szCs w:val="24"/>
        </w:rPr>
        <w:t>For price matrices for evaluation purposes – please see the attachment area of the e-sourcing suite.</w:t>
      </w:r>
    </w:p>
    <w:p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rsidTr="00327167">
        <w:tc>
          <w:tcPr>
            <w:tcW w:w="2468"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468" w:type="pct"/>
          </w:tcPr>
          <w:p w:rsidR="0057789E" w:rsidRPr="005313B5" w:rsidRDefault="0057789E" w:rsidP="0057789E">
            <w:pPr>
              <w:pStyle w:val="MarginText"/>
              <w:jc w:val="left"/>
              <w:rPr>
                <w:rFonts w:ascii="Arial" w:hAnsi="Arial" w:cs="Arial"/>
                <w:sz w:val="24"/>
                <w:szCs w:val="24"/>
              </w:rPr>
            </w:pPr>
          </w:p>
        </w:tc>
        <w:tc>
          <w:tcPr>
            <w:tcW w:w="2532" w:type="pct"/>
          </w:tcPr>
          <w:p w:rsidR="0057789E" w:rsidRPr="005313B5" w:rsidRDefault="0057789E" w:rsidP="0057789E">
            <w:pPr>
              <w:pStyle w:val="MarginText"/>
              <w:jc w:val="left"/>
              <w:rPr>
                <w:rFonts w:ascii="Arial" w:hAnsi="Arial" w:cs="Arial"/>
                <w:sz w:val="24"/>
                <w:szCs w:val="24"/>
              </w:rPr>
            </w:pPr>
          </w:p>
        </w:tc>
      </w:tr>
    </w:tbl>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rsidTr="00327167">
        <w:tc>
          <w:tcPr>
            <w:tcW w:w="250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r w:rsidR="0057789E" w:rsidRPr="005313B5" w:rsidTr="00327167">
        <w:tc>
          <w:tcPr>
            <w:tcW w:w="2500" w:type="pc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rsidR="0057789E" w:rsidRPr="005313B5" w:rsidRDefault="0057789E" w:rsidP="0057789E">
            <w:pPr>
              <w:pStyle w:val="MarginText"/>
              <w:jc w:val="left"/>
              <w:rPr>
                <w:rFonts w:ascii="Arial" w:hAnsi="Arial" w:cs="Arial"/>
                <w:sz w:val="24"/>
                <w:szCs w:val="24"/>
              </w:rPr>
            </w:pPr>
          </w:p>
        </w:tc>
      </w:tr>
    </w:tbl>
    <w:p w:rsidR="0057789E" w:rsidRPr="005313B5" w:rsidRDefault="0057789E" w:rsidP="0057789E">
      <w:pPr>
        <w:rPr>
          <w:rFonts w:ascii="Arial" w:eastAsia="STZhongsong" w:hAnsi="Arial" w:cs="Arial"/>
          <w:b/>
          <w:caps/>
          <w:sz w:val="24"/>
          <w:szCs w:val="24"/>
          <w:lang w:eastAsia="zh-CN"/>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p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3:</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Volume Based Prices</w:t>
      </w:r>
    </w:p>
    <w:p w:rsidR="0057789E" w:rsidRPr="005313B5" w:rsidRDefault="0057789E" w:rsidP="0057789E">
      <w:pPr>
        <w:pStyle w:val="GPSL1Guidance"/>
        <w:ind w:left="-142"/>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254"/>
        <w:gridCol w:w="2254"/>
        <w:gridCol w:w="2254"/>
        <w:gridCol w:w="2254"/>
      </w:tblGrid>
      <w:tr w:rsidR="0057789E" w:rsidRPr="005313B5" w:rsidTr="00327167">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lastRenderedPageBreak/>
              <w:t>Framework Price Number</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Unit</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Number of units per Service Period</w:t>
            </w:r>
          </w:p>
        </w:tc>
        <w:tc>
          <w:tcPr>
            <w:tcW w:w="1250" w:type="pct"/>
            <w:shd w:val="clear" w:color="auto" w:fill="548DD4" w:themeFill="text2" w:themeFillTint="99"/>
          </w:tcPr>
          <w:p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Charge per unit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SC1]</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rPr>
          <w:trHeight w:val="701"/>
        </w:trPr>
        <w:tc>
          <w:tcPr>
            <w:tcW w:w="1250" w:type="pct"/>
            <w:vMerge/>
          </w:tcPr>
          <w:p w:rsidR="0057789E" w:rsidRPr="005313B5" w:rsidRDefault="0057789E" w:rsidP="0057789E">
            <w:pPr>
              <w:pStyle w:val="MarginText"/>
              <w:jc w:val="left"/>
              <w:rPr>
                <w:rFonts w:ascii="Arial" w:hAnsi="Arial" w:cs="Arial"/>
                <w:sz w:val="24"/>
                <w:szCs w:val="24"/>
                <w:highlight w:val="yellow"/>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val="restart"/>
          </w:tcPr>
          <w:p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SC2]</w:t>
            </w:r>
          </w:p>
        </w:tc>
        <w:tc>
          <w:tcPr>
            <w:tcW w:w="1250" w:type="pct"/>
            <w:vMerge w:val="restart"/>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tr w:rsidR="0057789E" w:rsidRPr="005313B5" w:rsidTr="00327167">
        <w:tc>
          <w:tcPr>
            <w:tcW w:w="1250" w:type="pct"/>
            <w:vMerge/>
          </w:tcPr>
          <w:p w:rsidR="0057789E" w:rsidRPr="005313B5" w:rsidRDefault="0057789E" w:rsidP="0057789E">
            <w:pPr>
              <w:pStyle w:val="MarginText"/>
              <w:jc w:val="left"/>
              <w:rPr>
                <w:rFonts w:ascii="Arial" w:hAnsi="Arial" w:cs="Arial"/>
                <w:sz w:val="24"/>
                <w:szCs w:val="24"/>
              </w:rPr>
            </w:pPr>
          </w:p>
        </w:tc>
        <w:tc>
          <w:tcPr>
            <w:tcW w:w="1250" w:type="pct"/>
            <w:vMerge/>
          </w:tcPr>
          <w:p w:rsidR="0057789E" w:rsidRPr="005313B5" w:rsidRDefault="0057789E" w:rsidP="0057789E">
            <w:pPr>
              <w:pStyle w:val="MarginText"/>
              <w:jc w:val="left"/>
              <w:rPr>
                <w:rFonts w:ascii="Arial" w:hAnsi="Arial" w:cs="Arial"/>
                <w:sz w:val="24"/>
                <w:szCs w:val="24"/>
              </w:rPr>
            </w:pP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 - [         ]</w:t>
            </w:r>
          </w:p>
        </w:tc>
        <w:tc>
          <w:tcPr>
            <w:tcW w:w="1250" w:type="pct"/>
          </w:tcPr>
          <w:p w:rsidR="0057789E" w:rsidRPr="005313B5" w:rsidRDefault="0057789E" w:rsidP="0057789E">
            <w:pPr>
              <w:pStyle w:val="MarginText"/>
              <w:jc w:val="left"/>
              <w:rPr>
                <w:rFonts w:ascii="Arial" w:hAnsi="Arial" w:cs="Arial"/>
                <w:sz w:val="24"/>
                <w:szCs w:val="24"/>
              </w:rPr>
            </w:pPr>
            <w:r w:rsidRPr="005313B5">
              <w:rPr>
                <w:rFonts w:ascii="Arial" w:hAnsi="Arial" w:cs="Arial"/>
                <w:sz w:val="24"/>
                <w:szCs w:val="24"/>
              </w:rPr>
              <w:t>[                  ]</w:t>
            </w:r>
          </w:p>
        </w:tc>
      </w:tr>
      <w:bookmarkEnd w:id="0"/>
    </w:tbl>
    <w:p w:rsidR="003450C5" w:rsidRDefault="003450C5" w:rsidP="0057789E">
      <w:pPr>
        <w:rPr>
          <w:rFonts w:ascii="Arial" w:hAnsi="Arial" w:cs="Arial"/>
          <w:b/>
          <w:sz w:val="24"/>
          <w:szCs w:val="24"/>
        </w:rPr>
        <w:sectPr w:rsidR="003450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BE2" w:rsidRDefault="00096BE2">
      <w:pPr>
        <w:spacing w:after="0" w:line="240" w:lineRule="auto"/>
      </w:pPr>
      <w:r>
        <w:separator/>
      </w:r>
    </w:p>
  </w:endnote>
  <w:endnote w:type="continuationSeparator" w:id="0">
    <w:p w:rsidR="00096BE2" w:rsidRDefault="00096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D6E" w:rsidRPr="00C25BF9" w:rsidRDefault="00DD3D6E" w:rsidP="00DD3D6E">
    <w:pPr>
      <w:tabs>
        <w:tab w:val="center" w:pos="4513"/>
        <w:tab w:val="right" w:pos="9026"/>
      </w:tabs>
      <w:spacing w:after="0"/>
      <w:rPr>
        <w:rFonts w:ascii="Arial" w:hAnsi="Arial"/>
        <w:sz w:val="20"/>
      </w:rPr>
    </w:pPr>
    <w:bookmarkStart w:id="21" w:name="OLE_LINK1"/>
    <w:bookmarkStart w:id="22" w:name="OLE_LINK2"/>
    <w:bookmarkStart w:id="23" w:name="OLE_LINK3"/>
    <w:r w:rsidRPr="00C25BF9">
      <w:rPr>
        <w:rFonts w:ascii="Arial" w:hAnsi="Arial"/>
        <w:sz w:val="20"/>
      </w:rPr>
      <w:t>Framework Ref: RM</w:t>
    </w:r>
    <w:r>
      <w:rPr>
        <w:rFonts w:ascii="Arial" w:hAnsi="Arial"/>
        <w:sz w:val="20"/>
      </w:rPr>
      <w:t xml:space="preserve">6145 Learning and Development Framework </w:t>
    </w:r>
  </w:p>
  <w:p w:rsidR="00DD3D6E" w:rsidRDefault="00DD3D6E" w:rsidP="00DD3D6E">
    <w:pPr>
      <w:pStyle w:val="Footer"/>
      <w:rPr>
        <w:rFonts w:ascii="Arial" w:hAnsi="Arial"/>
        <w:sz w:val="20"/>
      </w:rPr>
    </w:pPr>
    <w:r w:rsidRPr="00C25BF9">
      <w:rPr>
        <w:rFonts w:ascii="Arial" w:hAnsi="Arial"/>
        <w:sz w:val="20"/>
      </w:rPr>
      <w:t>Project</w:t>
    </w:r>
    <w:r>
      <w:rPr>
        <w:rFonts w:ascii="Arial" w:hAnsi="Arial"/>
        <w:sz w:val="20"/>
      </w:rPr>
      <w:t xml:space="preserve"> Version: v1.0</w:t>
    </w:r>
  </w:p>
  <w:p w:rsidR="000857C2" w:rsidRPr="00CB7960" w:rsidRDefault="00DD3D6E" w:rsidP="00DD3D6E">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sz w:val="20"/>
      </w:rPr>
      <w:t>Model Version: v</w:t>
    </w:r>
    <w:bookmarkEnd w:id="21"/>
    <w:bookmarkEnd w:id="22"/>
    <w:bookmarkEnd w:id="23"/>
    <w:r>
      <w:rPr>
        <w:rFonts w:ascii="Arial" w:hAnsi="Arial"/>
        <w:sz w:val="20"/>
      </w:rPr>
      <w:t>3.1</w:t>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9B" w:rsidRDefault="00034E9B" w:rsidP="00034E9B">
    <w:pPr>
      <w:tabs>
        <w:tab w:val="center" w:pos="4513"/>
        <w:tab w:val="right" w:pos="9026"/>
      </w:tabs>
      <w:spacing w:after="0"/>
    </w:pPr>
    <w:r>
      <w:t>Framework Ref: RM</w:t>
    </w:r>
    <w:r>
      <w:tab/>
      <w:t xml:space="preserve">                                           </w:t>
    </w:r>
  </w:p>
  <w:p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BE2" w:rsidRDefault="00096BE2">
      <w:pPr>
        <w:spacing w:after="0" w:line="240" w:lineRule="auto"/>
      </w:pPr>
      <w:r>
        <w:separator/>
      </w:r>
    </w:p>
  </w:footnote>
  <w:footnote w:type="continuationSeparator" w:id="0">
    <w:p w:rsidR="00096BE2" w:rsidRDefault="00096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7C2" w:rsidRPr="00B2008A" w:rsidRDefault="00DD3D6E">
    <w:pPr>
      <w:pStyle w:val="Header"/>
      <w:rPr>
        <w:rFonts w:ascii="Arial" w:hAnsi="Arial" w:cs="Arial"/>
        <w:b/>
        <w:sz w:val="20"/>
        <w:szCs w:val="20"/>
      </w:rPr>
    </w:pPr>
    <w:sdt>
      <w:sdtPr>
        <w:rPr>
          <w:rFonts w:ascii="Arial" w:hAnsi="Arial" w:cs="Arial"/>
          <w:b/>
          <w:sz w:val="20"/>
          <w:szCs w:val="20"/>
        </w:rPr>
        <w:id w:val="-166942325"/>
        <w:docPartObj>
          <w:docPartGallery w:val="Watermarks"/>
          <w:docPartUnique/>
        </w:docPartObj>
      </w:sdtPr>
      <w:sdtContent>
        <w:r w:rsidRPr="00DD3D6E">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r w:rsidR="005B78FD">
      <w:rPr>
        <w:rFonts w:ascii="Arial" w:hAnsi="Arial" w:cs="Arial"/>
        <w:b/>
        <w:sz w:val="20"/>
        <w:szCs w:val="20"/>
      </w:rPr>
      <w:t xml:space="preserve"> – RM6145</w:t>
    </w:r>
  </w:p>
  <w:p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DD3D6E">
      <w:rPr>
        <w:rFonts w:ascii="Arial" w:hAnsi="Arial" w:cs="Arial"/>
        <w:sz w:val="20"/>
        <w:szCs w:val="20"/>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096BE2"/>
    <w:rsid w:val="000D2071"/>
    <w:rsid w:val="00135E0F"/>
    <w:rsid w:val="00136E7A"/>
    <w:rsid w:val="00180871"/>
    <w:rsid w:val="001B0AF6"/>
    <w:rsid w:val="00273CB1"/>
    <w:rsid w:val="00274942"/>
    <w:rsid w:val="00295CBD"/>
    <w:rsid w:val="003450C5"/>
    <w:rsid w:val="003C776E"/>
    <w:rsid w:val="003E3C9C"/>
    <w:rsid w:val="00497354"/>
    <w:rsid w:val="00524278"/>
    <w:rsid w:val="005313B5"/>
    <w:rsid w:val="0057789E"/>
    <w:rsid w:val="00595D31"/>
    <w:rsid w:val="005A2376"/>
    <w:rsid w:val="005B4CC5"/>
    <w:rsid w:val="005B78FD"/>
    <w:rsid w:val="005C200D"/>
    <w:rsid w:val="005C2FD0"/>
    <w:rsid w:val="005C6E36"/>
    <w:rsid w:val="006325DC"/>
    <w:rsid w:val="00681EAD"/>
    <w:rsid w:val="006C4AE2"/>
    <w:rsid w:val="006D400A"/>
    <w:rsid w:val="006F7F5E"/>
    <w:rsid w:val="0076656E"/>
    <w:rsid w:val="007747F8"/>
    <w:rsid w:val="00774CD0"/>
    <w:rsid w:val="007A2CAF"/>
    <w:rsid w:val="007B2C9E"/>
    <w:rsid w:val="007C4572"/>
    <w:rsid w:val="00843C93"/>
    <w:rsid w:val="00863BC5"/>
    <w:rsid w:val="008921D0"/>
    <w:rsid w:val="008A32B2"/>
    <w:rsid w:val="008B60EE"/>
    <w:rsid w:val="008E2218"/>
    <w:rsid w:val="009427C1"/>
    <w:rsid w:val="00973BE3"/>
    <w:rsid w:val="00974BDE"/>
    <w:rsid w:val="00994A94"/>
    <w:rsid w:val="009D6528"/>
    <w:rsid w:val="00A9462A"/>
    <w:rsid w:val="00AC0E6D"/>
    <w:rsid w:val="00B2008A"/>
    <w:rsid w:val="00B349A8"/>
    <w:rsid w:val="00B61D7F"/>
    <w:rsid w:val="00BF1005"/>
    <w:rsid w:val="00C05D8F"/>
    <w:rsid w:val="00CB7960"/>
    <w:rsid w:val="00CF1DFF"/>
    <w:rsid w:val="00DD3D6E"/>
    <w:rsid w:val="00DD4AC6"/>
    <w:rsid w:val="00DD5DF9"/>
    <w:rsid w:val="00DE20E2"/>
    <w:rsid w:val="00E30852"/>
    <w:rsid w:val="00E85424"/>
    <w:rsid w:val="00EF5E85"/>
    <w:rsid w:val="00F033D6"/>
    <w:rsid w:val="00F14554"/>
    <w:rsid w:val="00F1768F"/>
    <w:rsid w:val="00F20C81"/>
    <w:rsid w:val="00F328EC"/>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18DAA-0AB2-4594-9CF1-E3625F65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2019-12-17T18:17:00Z</dcterms:created>
  <dcterms:modified xsi:type="dcterms:W3CDTF">2019-12-17T18:17:00Z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